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w:t>
      </w:r>
      <w:r w:rsidR="00DE0810">
        <w:rPr>
          <w:noProof w:val="0"/>
          <w:sz w:val="24"/>
          <w:szCs w:val="24"/>
        </w:rPr>
        <w:t>1</w:t>
      </w:r>
      <w:r w:rsidRPr="00B266B0">
        <w:rPr>
          <w:noProof w:val="0"/>
          <w:sz w:val="24"/>
          <w:szCs w:val="24"/>
        </w:rPr>
        <w:t xml:space="preserve"> Meeting #</w:t>
      </w:r>
      <w:r w:rsidR="00DE0810">
        <w:rPr>
          <w:noProof w:val="0"/>
          <w:sz w:val="24"/>
          <w:szCs w:val="24"/>
        </w:rPr>
        <w:t>86</w:t>
      </w:r>
      <w:r w:rsidRPr="00B266B0">
        <w:rPr>
          <w:bCs/>
          <w:noProof w:val="0"/>
          <w:sz w:val="24"/>
          <w:szCs w:val="24"/>
        </w:rPr>
        <w:tab/>
      </w:r>
      <w:r w:rsidRPr="00B266B0">
        <w:rPr>
          <w:rFonts w:hint="eastAsia"/>
          <w:bCs/>
          <w:noProof w:val="0"/>
          <w:sz w:val="24"/>
          <w:szCs w:val="24"/>
        </w:rPr>
        <w:t>R</w:t>
      </w:r>
      <w:r w:rsidR="00DE0810">
        <w:rPr>
          <w:bCs/>
          <w:noProof w:val="0"/>
          <w:sz w:val="24"/>
          <w:szCs w:val="24"/>
        </w:rPr>
        <w:t>1</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4973FD">
        <w:rPr>
          <w:bCs/>
          <w:noProof w:val="0"/>
          <w:sz w:val="24"/>
          <w:szCs w:val="24"/>
        </w:rPr>
        <w:t>7755</w:t>
      </w:r>
    </w:p>
    <w:p w:rsidR="00CD4C7B" w:rsidRPr="00B266B0" w:rsidRDefault="003B40AD" w:rsidP="00CD4C7B">
      <w:pPr>
        <w:pStyle w:val="Header"/>
        <w:tabs>
          <w:tab w:val="right" w:pos="9639"/>
        </w:tabs>
        <w:rPr>
          <w:bCs/>
          <w:noProof w:val="0"/>
          <w:sz w:val="24"/>
          <w:szCs w:val="24"/>
        </w:rPr>
      </w:pPr>
      <w:r>
        <w:rPr>
          <w:rFonts w:eastAsia="宋体"/>
          <w:noProof w:val="0"/>
          <w:sz w:val="24"/>
          <w:szCs w:val="24"/>
          <w:lang w:eastAsia="zh-CN"/>
        </w:rPr>
        <w:t>Gothenburg</w:t>
      </w:r>
      <w:r w:rsidR="00477455">
        <w:rPr>
          <w:rFonts w:eastAsia="宋体"/>
          <w:noProof w:val="0"/>
          <w:sz w:val="24"/>
          <w:szCs w:val="24"/>
          <w:lang w:eastAsia="zh-CN"/>
        </w:rPr>
        <w:t xml:space="preserve">, </w:t>
      </w:r>
      <w:r>
        <w:rPr>
          <w:rFonts w:eastAsia="宋体"/>
          <w:noProof w:val="0"/>
          <w:sz w:val="24"/>
          <w:szCs w:val="24"/>
          <w:lang w:eastAsia="zh-CN"/>
        </w:rPr>
        <w:t>Sweden</w:t>
      </w:r>
      <w:r w:rsidR="009B07CD" w:rsidRPr="009B07CD">
        <w:rPr>
          <w:rFonts w:eastAsia="宋体"/>
          <w:noProof w:val="0"/>
          <w:sz w:val="24"/>
          <w:szCs w:val="24"/>
          <w:lang w:eastAsia="zh-CN"/>
        </w:rPr>
        <w:t xml:space="preserve">, </w:t>
      </w:r>
      <w:r w:rsidR="000C522B">
        <w:rPr>
          <w:rFonts w:eastAsia="宋体"/>
          <w:noProof w:val="0"/>
          <w:sz w:val="24"/>
          <w:szCs w:val="24"/>
          <w:lang w:eastAsia="zh-CN"/>
        </w:rPr>
        <w:t>2</w:t>
      </w:r>
      <w:r>
        <w:rPr>
          <w:rFonts w:eastAsia="宋体"/>
          <w:noProof w:val="0"/>
          <w:sz w:val="24"/>
          <w:szCs w:val="24"/>
          <w:lang w:eastAsia="zh-CN"/>
        </w:rPr>
        <w:t>2</w:t>
      </w:r>
      <w:r w:rsidR="009B07CD" w:rsidRPr="009B07CD">
        <w:rPr>
          <w:rFonts w:eastAsia="宋体"/>
          <w:noProof w:val="0"/>
          <w:sz w:val="24"/>
          <w:szCs w:val="24"/>
          <w:lang w:eastAsia="zh-CN"/>
        </w:rPr>
        <w:t xml:space="preserve"> - </w:t>
      </w:r>
      <w:r>
        <w:rPr>
          <w:rFonts w:eastAsia="宋体"/>
          <w:noProof w:val="0"/>
          <w:sz w:val="24"/>
          <w:szCs w:val="24"/>
          <w:lang w:eastAsia="zh-CN"/>
        </w:rPr>
        <w:t>26</w:t>
      </w:r>
      <w:r w:rsidR="009B07CD" w:rsidRPr="009B07CD">
        <w:rPr>
          <w:rFonts w:eastAsia="宋体"/>
          <w:noProof w:val="0"/>
          <w:sz w:val="24"/>
          <w:szCs w:val="24"/>
          <w:lang w:eastAsia="zh-CN"/>
        </w:rPr>
        <w:t xml:space="preserve"> </w:t>
      </w:r>
      <w:r>
        <w:rPr>
          <w:rFonts w:eastAsia="宋体"/>
          <w:noProof w:val="0"/>
          <w:sz w:val="24"/>
          <w:szCs w:val="24"/>
          <w:lang w:eastAsia="zh-CN"/>
        </w:rPr>
        <w:t>August</w:t>
      </w:r>
      <w:r w:rsidR="000C522B">
        <w:rPr>
          <w:rFonts w:eastAsia="宋体"/>
          <w:noProof w:val="0"/>
          <w:sz w:val="24"/>
          <w:szCs w:val="24"/>
          <w:lang w:eastAsia="zh-CN"/>
        </w:rPr>
        <w:t xml:space="preserve"> </w:t>
      </w:r>
      <w:r w:rsidR="009B07CD" w:rsidRPr="009B07CD">
        <w:rPr>
          <w:rFonts w:eastAsia="宋体"/>
          <w:noProof w:val="0"/>
          <w:sz w:val="24"/>
          <w:szCs w:val="24"/>
          <w:lang w:eastAsia="zh-CN"/>
        </w:rPr>
        <w:t>2016</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973FD">
        <w:rPr>
          <w:rFonts w:cs="Arial"/>
          <w:b/>
          <w:bCs/>
          <w:sz w:val="24"/>
          <w:lang w:eastAsia="ja-JP"/>
        </w:rPr>
        <w:t>6.4</w:t>
      </w:r>
      <w:bookmarkStart w:id="1" w:name="_GoBack"/>
      <w:bookmarkEnd w:id="1"/>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13600">
        <w:rPr>
          <w:rFonts w:ascii="Arial" w:hAnsi="Arial" w:cs="Arial"/>
          <w:b/>
          <w:bCs/>
          <w:sz w:val="24"/>
        </w:rPr>
        <w:t>PRACH optimization for l</w:t>
      </w:r>
      <w:r w:rsidR="00C13600" w:rsidRPr="0022323E">
        <w:rPr>
          <w:rFonts w:ascii="Arial" w:hAnsi="Arial" w:cs="Arial"/>
          <w:b/>
          <w:bCs/>
          <w:sz w:val="24"/>
        </w:rPr>
        <w:t xml:space="preserve">atency reduction </w:t>
      </w:r>
      <w:r w:rsidR="00D92CDE">
        <w:rPr>
          <w:rFonts w:ascii="Arial" w:hAnsi="Arial" w:cs="Arial"/>
          <w:b/>
          <w:bCs/>
          <w:sz w:val="24"/>
        </w:rPr>
        <w:t>during</w:t>
      </w:r>
      <w:r w:rsidR="00C13600" w:rsidRPr="0022323E">
        <w:rPr>
          <w:rFonts w:ascii="Arial" w:hAnsi="Arial" w:cs="Arial"/>
          <w:b/>
          <w:bCs/>
          <w:sz w:val="24"/>
        </w:rPr>
        <w:t xml:space="preserve"> uplink signalling traffic</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t xml:space="preserve">WI Code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477455">
        <w:rPr>
          <w:rFonts w:ascii="Arial" w:hAnsi="Arial" w:cs="Arial"/>
          <w:b/>
          <w:bCs/>
          <w:sz w:val="24"/>
        </w:rPr>
        <w:t>14</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05027C" w:rsidRPr="0005027C" w:rsidRDefault="0005027C" w:rsidP="0005027C">
      <w:r w:rsidRPr="0005027C">
        <w:t>The discussion paper on “Constant Value” optimization was discussed in RAN1 and was considered beneficial. Please refer to the minutes of the meeting.</w:t>
      </w:r>
      <w:r w:rsidR="00472F4C">
        <w:t xml:space="preserve"> The meeting notes are from [1]:</w:t>
      </w:r>
    </w:p>
    <w:tbl>
      <w:tblPr>
        <w:tblW w:w="0" w:type="auto"/>
        <w:tblCellMar>
          <w:left w:w="0" w:type="dxa"/>
          <w:right w:w="0" w:type="dxa"/>
        </w:tblCellMar>
        <w:tblLook w:val="04A0" w:firstRow="1" w:lastRow="0" w:firstColumn="1" w:lastColumn="0" w:noHBand="0" w:noVBand="1"/>
      </w:tblPr>
      <w:tblGrid>
        <w:gridCol w:w="9621"/>
      </w:tblGrid>
      <w:tr w:rsidR="0005027C" w:rsidTr="0005027C">
        <w:trPr>
          <w:trHeight w:val="1453"/>
        </w:trPr>
        <w:tc>
          <w:tcPr>
            <w:tcW w:w="152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5027C" w:rsidRDefault="00E538CF">
            <w:pPr>
              <w:rPr>
                <w:b/>
                <w:bCs/>
                <w:sz w:val="22"/>
                <w:szCs w:val="22"/>
                <w:lang w:eastAsia="ja-JP"/>
              </w:rPr>
            </w:pPr>
            <w:hyperlink r:id="rId10" w:history="1">
              <w:r w:rsidR="0005027C">
                <w:rPr>
                  <w:rStyle w:val="Hyperlink"/>
                  <w:b/>
                  <w:bCs/>
                  <w:lang w:eastAsia="ja-JP"/>
                </w:rPr>
                <w:t>R1-150632</w:t>
              </w:r>
            </w:hyperlink>
            <w:r w:rsidR="0005027C">
              <w:rPr>
                <w:b/>
                <w:bCs/>
                <w:lang w:eastAsia="ja-JP"/>
              </w:rPr>
              <w:t>          Uplink optimization for Small Data Transmission               Nokia Networks</w:t>
            </w:r>
          </w:p>
          <w:p w:rsidR="0005027C" w:rsidRDefault="0005027C">
            <w:r>
              <w:rPr>
                <w:b/>
                <w:bCs/>
              </w:rPr>
              <w:t xml:space="preserve">Decision: </w:t>
            </w:r>
            <w:r>
              <w:t>The document is noted.</w:t>
            </w:r>
          </w:p>
          <w:p w:rsidR="0005027C" w:rsidRDefault="0005027C">
            <w:pPr>
              <w:rPr>
                <w:rFonts w:ascii="Calibri" w:hAnsi="Calibri"/>
                <w:b/>
                <w:bCs/>
                <w:lang w:eastAsia="ja-JP"/>
              </w:rPr>
            </w:pPr>
            <w:r>
              <w:rPr>
                <w:b/>
                <w:bCs/>
                <w:lang w:eastAsia="ja-JP"/>
              </w:rPr>
              <w:t>Conclusion</w:t>
            </w:r>
          </w:p>
          <w:p w:rsidR="0005027C" w:rsidRPr="0005027C" w:rsidRDefault="0005027C">
            <w:pPr>
              <w:rPr>
                <w:lang w:eastAsia="ja-JP"/>
              </w:rPr>
            </w:pPr>
            <w:r>
              <w:rPr>
                <w:lang w:eastAsia="ja-JP"/>
              </w:rPr>
              <w:t>It is RAN1 opinion that transmission of an additional constant value for setting the initial UE power of the PRACH preamble could be beneficial.</w:t>
            </w:r>
          </w:p>
        </w:tc>
      </w:tr>
    </w:tbl>
    <w:p w:rsidR="00CD4C7B" w:rsidRPr="006E13D1" w:rsidRDefault="00CD4C7B" w:rsidP="00CD4C7B">
      <w:pPr>
        <w:pStyle w:val="Heading1"/>
      </w:pPr>
      <w:r w:rsidRPr="006E13D1">
        <w:t>2</w:t>
      </w:r>
      <w:r w:rsidRPr="006E13D1">
        <w:tab/>
      </w:r>
      <w:r w:rsidR="0005027C">
        <w:t>Background of the optimization</w:t>
      </w:r>
    </w:p>
    <w:p w:rsidR="00472F4C" w:rsidRDefault="00472F4C" w:rsidP="0005027C">
      <w:pPr>
        <w:jc w:val="both"/>
      </w:pPr>
      <w:r w:rsidRPr="0005027C">
        <w:t xml:space="preserve">Sections 6.1.3.5.3.1 and the further section mentioning this for the list of solutions </w:t>
      </w:r>
      <w:r>
        <w:t xml:space="preserve">in the </w:t>
      </w:r>
      <w:r w:rsidRPr="0005027C">
        <w:t>TR25.705</w:t>
      </w:r>
      <w:r>
        <w:t xml:space="preserve"> ([2]). </w:t>
      </w:r>
    </w:p>
    <w:p w:rsidR="00472F4C" w:rsidRDefault="00472F4C" w:rsidP="0005027C">
      <w:pPr>
        <w:jc w:val="both"/>
      </w:pPr>
      <w:r>
        <w:t xml:space="preserve">We </w:t>
      </w:r>
      <w:r w:rsidRPr="00C13600">
        <w:rPr>
          <w:b/>
          <w:u w:val="single"/>
        </w:rPr>
        <w:t>copy</w:t>
      </w:r>
      <w:r>
        <w:t xml:space="preserve"> this section here for reference below:</w:t>
      </w:r>
    </w:p>
    <w:p w:rsidR="0005027C" w:rsidRDefault="0005027C" w:rsidP="0005027C">
      <w:pPr>
        <w:jc w:val="both"/>
      </w:pPr>
      <w:r>
        <w:t>Power</w:t>
      </w:r>
      <w:r>
        <w:rPr>
          <w:rFonts w:eastAsia="Arial"/>
        </w:rPr>
        <w:t xml:space="preserve"> </w:t>
      </w:r>
      <w:r>
        <w:t>ramping</w:t>
      </w:r>
      <w:r>
        <w:rPr>
          <w:rFonts w:eastAsia="Arial"/>
        </w:rPr>
        <w:t xml:space="preserve"> </w:t>
      </w:r>
      <w:r>
        <w:t>of</w:t>
      </w:r>
      <w:r>
        <w:rPr>
          <w:rFonts w:eastAsia="Arial"/>
        </w:rPr>
        <w:t xml:space="preserve"> </w:t>
      </w:r>
      <w:r>
        <w:t>the</w:t>
      </w:r>
      <w:r>
        <w:rPr>
          <w:rFonts w:eastAsia="Arial"/>
        </w:rPr>
        <w:t xml:space="preserve"> </w:t>
      </w:r>
      <w:r>
        <w:t>random</w:t>
      </w:r>
      <w:r>
        <w:rPr>
          <w:rFonts w:eastAsia="Arial"/>
        </w:rPr>
        <w:t xml:space="preserve"> </w:t>
      </w:r>
      <w:r>
        <w:t>access</w:t>
      </w:r>
      <w:r>
        <w:rPr>
          <w:rFonts w:eastAsia="Arial"/>
        </w:rPr>
        <w:t xml:space="preserve"> </w:t>
      </w:r>
      <w:r>
        <w:t>preamble</w:t>
      </w:r>
      <w:r>
        <w:rPr>
          <w:rFonts w:eastAsia="Arial"/>
        </w:rPr>
        <w:t xml:space="preserve"> </w:t>
      </w:r>
      <w:r>
        <w:t>is</w:t>
      </w:r>
      <w:r>
        <w:rPr>
          <w:rFonts w:eastAsia="Arial"/>
        </w:rPr>
        <w:t xml:space="preserve"> </w:t>
      </w:r>
      <w:r>
        <w:t>well</w:t>
      </w:r>
      <w:r>
        <w:rPr>
          <w:rFonts w:eastAsia="Arial"/>
        </w:rPr>
        <w:t xml:space="preserve"> </w:t>
      </w:r>
      <w:r>
        <w:t>known</w:t>
      </w:r>
      <w:r>
        <w:rPr>
          <w:rFonts w:eastAsia="Arial"/>
        </w:rPr>
        <w:t xml:space="preserve"> </w:t>
      </w:r>
      <w:r>
        <w:t>in</w:t>
      </w:r>
      <w:r>
        <w:rPr>
          <w:rFonts w:eastAsia="Arial"/>
        </w:rPr>
        <w:t xml:space="preserve"> </w:t>
      </w:r>
      <w:r w:rsidR="00F92CB1">
        <w:t>25.331</w:t>
      </w:r>
      <w:r>
        <w:rPr>
          <w:rFonts w:eastAsia="Arial"/>
        </w:rPr>
        <w:t xml:space="preserve"> </w:t>
      </w:r>
      <w:r>
        <w:t>and</w:t>
      </w:r>
      <w:r>
        <w:rPr>
          <w:rFonts w:eastAsia="Arial"/>
        </w:rPr>
        <w:t xml:space="preserve"> </w:t>
      </w:r>
      <w:r>
        <w:t>is</w:t>
      </w:r>
      <w:r>
        <w:rPr>
          <w:rFonts w:eastAsia="Arial"/>
        </w:rPr>
        <w:t xml:space="preserve"> </w:t>
      </w:r>
      <w:r>
        <w:t>described by Equation 1</w:t>
      </w:r>
      <w:r>
        <w:rPr>
          <w:rFonts w:eastAsia="Arial"/>
        </w:rPr>
        <w:t xml:space="preserve"> </w:t>
      </w:r>
      <w:r>
        <w:t>below:</w:t>
      </w:r>
    </w:p>
    <w:p w:rsidR="0005027C" w:rsidRDefault="0005027C" w:rsidP="0005027C">
      <w:pPr>
        <w:rPr>
          <w:b/>
          <w:bCs/>
          <w:szCs w:val="18"/>
        </w:rPr>
      </w:pPr>
      <w:r>
        <w:rPr>
          <w:b/>
          <w:bCs/>
          <w:szCs w:val="18"/>
        </w:rPr>
        <w:t>Preamble_Initial_Power</w:t>
      </w:r>
      <w:r>
        <w:rPr>
          <w:rFonts w:eastAsia="Arial"/>
          <w:b/>
          <w:bCs/>
          <w:szCs w:val="18"/>
        </w:rPr>
        <w:t xml:space="preserve"> </w:t>
      </w:r>
      <w:r>
        <w:rPr>
          <w:b/>
          <w:bCs/>
          <w:szCs w:val="18"/>
        </w:rPr>
        <w:t>=</w:t>
      </w:r>
      <w:r>
        <w:rPr>
          <w:rFonts w:eastAsia="Arial"/>
          <w:b/>
          <w:bCs/>
          <w:szCs w:val="18"/>
        </w:rPr>
        <w:t xml:space="preserve"> </w:t>
      </w:r>
      <w:r>
        <w:rPr>
          <w:b/>
          <w:bCs/>
          <w:szCs w:val="18"/>
        </w:rPr>
        <w:t>Primary</w:t>
      </w:r>
      <w:r>
        <w:rPr>
          <w:rFonts w:eastAsia="Arial"/>
          <w:b/>
          <w:bCs/>
          <w:szCs w:val="18"/>
        </w:rPr>
        <w:t xml:space="preserve"> </w:t>
      </w:r>
      <w:r>
        <w:rPr>
          <w:b/>
          <w:bCs/>
          <w:szCs w:val="18"/>
        </w:rPr>
        <w:t>CPICH</w:t>
      </w:r>
      <w:r>
        <w:rPr>
          <w:rFonts w:eastAsia="Arial"/>
          <w:b/>
          <w:bCs/>
          <w:szCs w:val="18"/>
        </w:rPr>
        <w:t xml:space="preserve"> </w:t>
      </w:r>
      <w:r>
        <w:rPr>
          <w:b/>
          <w:bCs/>
          <w:szCs w:val="18"/>
        </w:rPr>
        <w:t>TX</w:t>
      </w:r>
      <w:r>
        <w:rPr>
          <w:rFonts w:eastAsia="Arial"/>
          <w:b/>
          <w:bCs/>
          <w:szCs w:val="18"/>
        </w:rPr>
        <w:t xml:space="preserve"> </w:t>
      </w:r>
      <w:r>
        <w:rPr>
          <w:b/>
          <w:bCs/>
          <w:szCs w:val="18"/>
        </w:rPr>
        <w:t>power</w:t>
      </w:r>
      <w:r>
        <w:rPr>
          <w:rFonts w:eastAsia="Arial"/>
          <w:b/>
          <w:bCs/>
          <w:szCs w:val="18"/>
        </w:rPr>
        <w:t xml:space="preserve"> – </w:t>
      </w:r>
      <w:r>
        <w:rPr>
          <w:b/>
          <w:bCs/>
          <w:szCs w:val="18"/>
        </w:rPr>
        <w:t>CPICH_RSCP</w:t>
      </w:r>
      <w:r>
        <w:rPr>
          <w:rFonts w:eastAsia="Arial"/>
          <w:b/>
          <w:bCs/>
          <w:szCs w:val="18"/>
        </w:rPr>
        <w:t xml:space="preserve"> </w:t>
      </w:r>
      <w:r>
        <w:rPr>
          <w:b/>
          <w:bCs/>
          <w:szCs w:val="18"/>
        </w:rPr>
        <w:t>+</w:t>
      </w:r>
      <w:r>
        <w:rPr>
          <w:rFonts w:eastAsia="Arial"/>
          <w:b/>
          <w:bCs/>
          <w:szCs w:val="18"/>
        </w:rPr>
        <w:t xml:space="preserve"> </w:t>
      </w:r>
      <w:r>
        <w:rPr>
          <w:b/>
          <w:bCs/>
          <w:szCs w:val="18"/>
        </w:rPr>
        <w:t>UL</w:t>
      </w:r>
      <w:r>
        <w:rPr>
          <w:rFonts w:eastAsia="Arial"/>
          <w:b/>
          <w:bCs/>
          <w:szCs w:val="18"/>
        </w:rPr>
        <w:t xml:space="preserve"> </w:t>
      </w:r>
      <w:r>
        <w:rPr>
          <w:b/>
          <w:bCs/>
          <w:szCs w:val="18"/>
        </w:rPr>
        <w:t>interference</w:t>
      </w:r>
      <w:r>
        <w:rPr>
          <w:rFonts w:eastAsia="Arial"/>
          <w:b/>
          <w:bCs/>
          <w:szCs w:val="18"/>
        </w:rPr>
        <w:t xml:space="preserve"> </w:t>
      </w:r>
      <w:r>
        <w:rPr>
          <w:b/>
          <w:bCs/>
          <w:szCs w:val="18"/>
        </w:rPr>
        <w:t>+</w:t>
      </w:r>
      <w:r>
        <w:rPr>
          <w:rFonts w:eastAsia="Arial"/>
          <w:b/>
          <w:bCs/>
          <w:szCs w:val="18"/>
        </w:rPr>
        <w:t xml:space="preserve"> </w:t>
      </w:r>
      <w:r>
        <w:rPr>
          <w:b/>
          <w:bCs/>
          <w:szCs w:val="18"/>
        </w:rPr>
        <w:t>Constant</w:t>
      </w:r>
      <w:r>
        <w:rPr>
          <w:rFonts w:eastAsia="Arial"/>
          <w:b/>
          <w:bCs/>
          <w:szCs w:val="18"/>
        </w:rPr>
        <w:t xml:space="preserve"> </w:t>
      </w:r>
      <w:r>
        <w:rPr>
          <w:b/>
          <w:bCs/>
          <w:szCs w:val="18"/>
        </w:rPr>
        <w:t>Value</w:t>
      </w:r>
      <w:r>
        <w:rPr>
          <w:b/>
          <w:bCs/>
          <w:szCs w:val="18"/>
        </w:rPr>
        <w:tab/>
        <w:t>(1)</w:t>
      </w:r>
    </w:p>
    <w:p w:rsidR="0005027C" w:rsidRDefault="0005027C" w:rsidP="0005027C">
      <w:r>
        <w:t>The</w:t>
      </w:r>
      <w:r>
        <w:rPr>
          <w:rFonts w:eastAsia="Arial"/>
        </w:rPr>
        <w:t xml:space="preserve"> </w:t>
      </w:r>
      <w:r>
        <w:t>preamble</w:t>
      </w:r>
      <w:r>
        <w:rPr>
          <w:rFonts w:eastAsia="Arial"/>
        </w:rPr>
        <w:t xml:space="preserve"> </w:t>
      </w:r>
      <w:r>
        <w:t>initial</w:t>
      </w:r>
      <w:r>
        <w:rPr>
          <w:rFonts w:eastAsia="Arial"/>
        </w:rPr>
        <w:t xml:space="preserve"> </w:t>
      </w:r>
      <w:r>
        <w:t>power</w:t>
      </w:r>
      <w:r>
        <w:rPr>
          <w:rFonts w:eastAsia="Arial"/>
        </w:rPr>
        <w:t xml:space="preserve"> </w:t>
      </w:r>
      <w:r>
        <w:t>is</w:t>
      </w:r>
      <w:r>
        <w:rPr>
          <w:rFonts w:eastAsia="Arial"/>
        </w:rPr>
        <w:t xml:space="preserve"> </w:t>
      </w:r>
      <w:r>
        <w:t>guided</w:t>
      </w:r>
      <w:r>
        <w:rPr>
          <w:rFonts w:eastAsia="Arial"/>
        </w:rPr>
        <w:t xml:space="preserve"> </w:t>
      </w:r>
      <w:r>
        <w:t>by</w:t>
      </w:r>
      <w:r>
        <w:rPr>
          <w:rFonts w:eastAsia="Arial"/>
        </w:rPr>
        <w:t xml:space="preserve"> </w:t>
      </w:r>
      <w:r>
        <w:t>the</w:t>
      </w:r>
      <w:r>
        <w:rPr>
          <w:rFonts w:eastAsia="Arial"/>
        </w:rPr>
        <w:t xml:space="preserve"> </w:t>
      </w:r>
      <w:r>
        <w:t>above</w:t>
      </w:r>
      <w:r>
        <w:rPr>
          <w:rFonts w:eastAsia="Arial"/>
        </w:rPr>
        <w:t xml:space="preserve"> </w:t>
      </w:r>
      <w:r>
        <w:t>equation</w:t>
      </w:r>
      <w:r>
        <w:rPr>
          <w:rFonts w:eastAsia="Arial"/>
        </w:rPr>
        <w:t xml:space="preserve"> </w:t>
      </w:r>
      <w:r>
        <w:t>where</w:t>
      </w:r>
      <w:r>
        <w:rPr>
          <w:rFonts w:eastAsia="Arial"/>
        </w:rPr>
        <w:t xml:space="preserve"> </w:t>
      </w:r>
      <w:r>
        <w:t>the</w:t>
      </w:r>
      <w:r>
        <w:rPr>
          <w:rFonts w:eastAsia="Arial"/>
        </w:rPr>
        <w:t xml:space="preserve"> </w:t>
      </w:r>
      <w:r>
        <w:t>difference</w:t>
      </w:r>
      <w:r>
        <w:rPr>
          <w:rFonts w:eastAsia="Arial"/>
        </w:rPr>
        <w:t xml:space="preserve"> </w:t>
      </w:r>
      <w:r>
        <w:t>of</w:t>
      </w:r>
      <w:r>
        <w:rPr>
          <w:rFonts w:eastAsia="Arial"/>
        </w:rPr>
        <w:t xml:space="preserve"> </w:t>
      </w:r>
      <w:r>
        <w:t>the</w:t>
      </w:r>
      <w:r>
        <w:rPr>
          <w:rFonts w:eastAsia="Arial"/>
        </w:rPr>
        <w:t xml:space="preserve"> </w:t>
      </w:r>
      <w:r>
        <w:t>1</w:t>
      </w:r>
      <w:r>
        <w:rPr>
          <w:vertAlign w:val="superscript"/>
        </w:rPr>
        <w:t>st</w:t>
      </w:r>
      <w:r>
        <w:rPr>
          <w:rFonts w:eastAsia="Arial"/>
          <w:vertAlign w:val="superscript"/>
        </w:rPr>
        <w:t xml:space="preserve"> </w:t>
      </w:r>
      <w:r>
        <w:t>and</w:t>
      </w:r>
      <w:r>
        <w:rPr>
          <w:rFonts w:eastAsia="Arial"/>
        </w:rPr>
        <w:t xml:space="preserve"> </w:t>
      </w:r>
      <w:r>
        <w:t>2</w:t>
      </w:r>
      <w:r>
        <w:rPr>
          <w:vertAlign w:val="superscript"/>
        </w:rPr>
        <w:t>nd</w:t>
      </w:r>
      <w:r>
        <w:rPr>
          <w:rFonts w:eastAsia="Arial"/>
        </w:rPr>
        <w:t xml:space="preserve"> </w:t>
      </w:r>
      <w:r>
        <w:t>term</w:t>
      </w:r>
      <w:r>
        <w:rPr>
          <w:rFonts w:eastAsia="Arial"/>
        </w:rPr>
        <w:t xml:space="preserve"> </w:t>
      </w:r>
      <w:r>
        <w:t>is</w:t>
      </w:r>
      <w:r>
        <w:rPr>
          <w:rFonts w:eastAsia="Arial"/>
        </w:rPr>
        <w:t xml:space="preserve"> </w:t>
      </w:r>
      <w:r>
        <w:t>the</w:t>
      </w:r>
      <w:r>
        <w:rPr>
          <w:rFonts w:eastAsia="Arial"/>
        </w:rPr>
        <w:t xml:space="preserve"> </w:t>
      </w:r>
      <w:r>
        <w:t>pathloss.</w:t>
      </w:r>
      <w:r>
        <w:rPr>
          <w:rFonts w:eastAsia="Arial"/>
        </w:rPr>
        <w:t xml:space="preserve"> </w:t>
      </w:r>
      <w:r>
        <w:t>The</w:t>
      </w:r>
      <w:r>
        <w:rPr>
          <w:rFonts w:eastAsia="Arial"/>
        </w:rPr>
        <w:t xml:space="preserve"> </w:t>
      </w:r>
      <w:r>
        <w:t>3</w:t>
      </w:r>
      <w:r>
        <w:rPr>
          <w:vertAlign w:val="superscript"/>
        </w:rPr>
        <w:t>rd</w:t>
      </w:r>
      <w:r>
        <w:rPr>
          <w:rFonts w:eastAsia="Arial"/>
        </w:rPr>
        <w:t xml:space="preserve"> </w:t>
      </w:r>
      <w:r>
        <w:t>term</w:t>
      </w:r>
      <w:r>
        <w:rPr>
          <w:rFonts w:eastAsia="Arial"/>
        </w:rPr>
        <w:t xml:space="preserve"> </w:t>
      </w:r>
      <w:r>
        <w:t>is</w:t>
      </w:r>
      <w:r>
        <w:rPr>
          <w:rFonts w:eastAsia="Arial"/>
        </w:rPr>
        <w:t xml:space="preserve"> </w:t>
      </w:r>
      <w:r>
        <w:t>the</w:t>
      </w:r>
      <w:r>
        <w:rPr>
          <w:rFonts w:eastAsia="Arial"/>
        </w:rPr>
        <w:t xml:space="preserve"> </w:t>
      </w:r>
      <w:r>
        <w:t>UL</w:t>
      </w:r>
      <w:r>
        <w:rPr>
          <w:rFonts w:eastAsia="Arial"/>
        </w:rPr>
        <w:t xml:space="preserve"> </w:t>
      </w:r>
      <w:r>
        <w:t>rise</w:t>
      </w:r>
      <w:r>
        <w:rPr>
          <w:rFonts w:eastAsia="Arial"/>
        </w:rPr>
        <w:t xml:space="preserve"> </w:t>
      </w:r>
      <w:r>
        <w:t>over</w:t>
      </w:r>
      <w:r>
        <w:rPr>
          <w:rFonts w:eastAsia="Arial"/>
        </w:rPr>
        <w:t xml:space="preserve"> </w:t>
      </w:r>
      <w:r>
        <w:t>thermal</w:t>
      </w:r>
      <w:r>
        <w:rPr>
          <w:rFonts w:eastAsia="Arial"/>
        </w:rPr>
        <w:t xml:space="preserve"> </w:t>
      </w:r>
      <w:r>
        <w:t>(or</w:t>
      </w:r>
      <w:r>
        <w:rPr>
          <w:rFonts w:eastAsia="Arial"/>
        </w:rPr>
        <w:t xml:space="preserve"> </w:t>
      </w:r>
      <w:r>
        <w:t>UL</w:t>
      </w:r>
      <w:r>
        <w:rPr>
          <w:rFonts w:eastAsia="Arial"/>
        </w:rPr>
        <w:t xml:space="preserve"> </w:t>
      </w:r>
      <w:r>
        <w:t>load</w:t>
      </w:r>
      <w:r>
        <w:rPr>
          <w:rFonts w:eastAsia="Arial"/>
        </w:rPr>
        <w:t xml:space="preserve"> </w:t>
      </w:r>
      <w:r>
        <w:t>which</w:t>
      </w:r>
      <w:r>
        <w:rPr>
          <w:rFonts w:eastAsia="Arial"/>
        </w:rPr>
        <w:t xml:space="preserve"> </w:t>
      </w:r>
      <w:r>
        <w:t>is</w:t>
      </w:r>
      <w:r>
        <w:rPr>
          <w:rFonts w:eastAsia="Arial"/>
        </w:rPr>
        <w:t xml:space="preserve"> </w:t>
      </w:r>
      <w:r>
        <w:t>broadcast</w:t>
      </w:r>
      <w:r>
        <w:rPr>
          <w:rFonts w:eastAsia="Arial"/>
        </w:rPr>
        <w:t xml:space="preserve"> </w:t>
      </w:r>
      <w:r>
        <w:t>in</w:t>
      </w:r>
      <w:r>
        <w:rPr>
          <w:rFonts w:eastAsia="Arial"/>
        </w:rPr>
        <w:t xml:space="preserve"> </w:t>
      </w:r>
      <w:r>
        <w:t>SIB7</w:t>
      </w:r>
      <w:r>
        <w:rPr>
          <w:rFonts w:eastAsia="Arial"/>
        </w:rPr>
        <w:t xml:space="preserve"> </w:t>
      </w:r>
      <w:r>
        <w:t>periodically)</w:t>
      </w:r>
      <w:r>
        <w:rPr>
          <w:rFonts w:eastAsia="Arial"/>
        </w:rPr>
        <w:t xml:space="preserve"> </w:t>
      </w:r>
      <w:r>
        <w:t>and</w:t>
      </w:r>
      <w:r>
        <w:rPr>
          <w:rFonts w:eastAsia="Arial"/>
        </w:rPr>
        <w:t xml:space="preserve"> </w:t>
      </w:r>
      <w:r>
        <w:t>the</w:t>
      </w:r>
      <w:r>
        <w:rPr>
          <w:rFonts w:eastAsia="Arial"/>
        </w:rPr>
        <w:t xml:space="preserve"> </w:t>
      </w:r>
      <w:r>
        <w:t>4</w:t>
      </w:r>
      <w:r>
        <w:rPr>
          <w:vertAlign w:val="superscript"/>
        </w:rPr>
        <w:t>th</w:t>
      </w:r>
      <w:r>
        <w:rPr>
          <w:rFonts w:eastAsia="Arial"/>
        </w:rPr>
        <w:t xml:space="preserve"> </w:t>
      </w:r>
      <w:r>
        <w:t>term</w:t>
      </w:r>
      <w:r>
        <w:rPr>
          <w:rFonts w:eastAsia="Arial"/>
        </w:rPr>
        <w:t xml:space="preserve"> </w:t>
      </w:r>
      <w:r>
        <w:t>is</w:t>
      </w:r>
      <w:r>
        <w:rPr>
          <w:rFonts w:eastAsia="Arial"/>
        </w:rPr>
        <w:t xml:space="preserve"> </w:t>
      </w:r>
      <w:r>
        <w:t>the ”constant value” as decided by the network. The 1</w:t>
      </w:r>
      <w:r>
        <w:rPr>
          <w:vertAlign w:val="superscript"/>
        </w:rPr>
        <w:t>st</w:t>
      </w:r>
      <w:r>
        <w:t xml:space="preserve"> and 4</w:t>
      </w:r>
      <w:r>
        <w:rPr>
          <w:vertAlign w:val="superscript"/>
        </w:rPr>
        <w:t>th</w:t>
      </w:r>
      <w:r>
        <w:t xml:space="preserve"> parameter is broadcast on the SIB in the PRACH configuration.</w:t>
      </w:r>
    </w:p>
    <w:p w:rsidR="0005027C" w:rsidRDefault="0005027C" w:rsidP="0005027C">
      <w:pPr>
        <w:pStyle w:val="TH"/>
      </w:pPr>
      <w:r>
        <w:rPr>
          <w:noProof/>
          <w:lang w:val="en-US" w:eastAsia="zh-CN"/>
        </w:rPr>
        <w:lastRenderedPageBreak/>
        <w:drawing>
          <wp:inline distT="0" distB="0" distL="0" distR="0">
            <wp:extent cx="4211955" cy="32143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11955" cy="3214370"/>
                    </a:xfrm>
                    <a:prstGeom prst="rect">
                      <a:avLst/>
                    </a:prstGeom>
                    <a:noFill/>
                    <a:ln>
                      <a:noFill/>
                    </a:ln>
                  </pic:spPr>
                </pic:pic>
              </a:graphicData>
            </a:graphic>
          </wp:inline>
        </w:drawing>
      </w:r>
    </w:p>
    <w:p w:rsidR="0005027C" w:rsidRDefault="0005027C" w:rsidP="0005027C">
      <w:pPr>
        <w:pStyle w:val="TF"/>
      </w:pPr>
      <w:r>
        <w:t>Figure 8.1: Legacy PRACH preamble transmission procedure</w:t>
      </w:r>
    </w:p>
    <w:p w:rsidR="0005027C" w:rsidRDefault="0005027C" w:rsidP="0005027C">
      <w:r>
        <w:t>Figure 8.1 describes how a</w:t>
      </w:r>
      <w:r>
        <w:rPr>
          <w:rFonts w:eastAsia="Arial"/>
        </w:rPr>
        <w:t xml:space="preserve"> </w:t>
      </w:r>
      <w:r>
        <w:t>UE</w:t>
      </w:r>
      <w:r>
        <w:rPr>
          <w:rFonts w:eastAsia="Arial"/>
        </w:rPr>
        <w:t xml:space="preserve"> </w:t>
      </w:r>
      <w:r>
        <w:t>would</w:t>
      </w:r>
      <w:r>
        <w:rPr>
          <w:rFonts w:eastAsia="Arial"/>
        </w:rPr>
        <w:t xml:space="preserve"> operate the PRACH preamble transmission. With Equation </w:t>
      </w:r>
      <w:r>
        <w:t>1</w:t>
      </w:r>
      <w:r>
        <w:rPr>
          <w:rFonts w:eastAsia="Arial"/>
        </w:rPr>
        <w:t xml:space="preserve"> above it will first </w:t>
      </w:r>
      <w:r>
        <w:t>determine</w:t>
      </w:r>
      <w:r>
        <w:rPr>
          <w:rFonts w:eastAsia="Arial"/>
        </w:rPr>
        <w:t xml:space="preserve"> </w:t>
      </w:r>
      <w:r>
        <w:t>the</w:t>
      </w:r>
      <w:r>
        <w:rPr>
          <w:rFonts w:eastAsia="Arial"/>
        </w:rPr>
        <w:t xml:space="preserve"> </w:t>
      </w:r>
      <w:r>
        <w:t>initial</w:t>
      </w:r>
      <w:r>
        <w:rPr>
          <w:rFonts w:eastAsia="Arial"/>
        </w:rPr>
        <w:t xml:space="preserve"> </w:t>
      </w:r>
      <w:r>
        <w:t>power</w:t>
      </w:r>
      <w:r>
        <w:rPr>
          <w:rFonts w:eastAsia="Arial"/>
        </w:rPr>
        <w:t xml:space="preserve"> </w:t>
      </w:r>
      <w:r>
        <w:t>for</w:t>
      </w:r>
      <w:r>
        <w:rPr>
          <w:rFonts w:eastAsia="Arial"/>
        </w:rPr>
        <w:t xml:space="preserve"> </w:t>
      </w:r>
      <w:r>
        <w:t>the</w:t>
      </w:r>
      <w:r>
        <w:rPr>
          <w:rFonts w:eastAsia="Arial"/>
        </w:rPr>
        <w:t xml:space="preserve"> </w:t>
      </w:r>
      <w:r>
        <w:t>preamble</w:t>
      </w:r>
      <w:r>
        <w:rPr>
          <w:rFonts w:eastAsia="Arial"/>
        </w:rPr>
        <w:t xml:space="preserve"> </w:t>
      </w:r>
      <w:r>
        <w:t>and</w:t>
      </w:r>
      <w:r>
        <w:rPr>
          <w:rFonts w:eastAsia="Arial"/>
        </w:rPr>
        <w:t xml:space="preserve"> </w:t>
      </w:r>
      <w:r>
        <w:t>would</w:t>
      </w:r>
      <w:r>
        <w:rPr>
          <w:rFonts w:eastAsia="Arial"/>
        </w:rPr>
        <w:t xml:space="preserve"> </w:t>
      </w:r>
      <w:r>
        <w:t>transmit</w:t>
      </w:r>
      <w:r>
        <w:rPr>
          <w:rFonts w:eastAsia="Arial"/>
        </w:rPr>
        <w:t xml:space="preserve"> </w:t>
      </w:r>
      <w:r>
        <w:t>the</w:t>
      </w:r>
      <w:r>
        <w:rPr>
          <w:rFonts w:eastAsia="Arial"/>
        </w:rPr>
        <w:t xml:space="preserve"> </w:t>
      </w:r>
      <w:r>
        <w:t>random</w:t>
      </w:r>
      <w:r>
        <w:rPr>
          <w:rFonts w:eastAsia="Arial"/>
        </w:rPr>
        <w:t xml:space="preserve"> </w:t>
      </w:r>
      <w:r>
        <w:t>access</w:t>
      </w:r>
      <w:r>
        <w:rPr>
          <w:rFonts w:eastAsia="Arial"/>
        </w:rPr>
        <w:t xml:space="preserve"> </w:t>
      </w:r>
      <w:r>
        <w:t>preamble</w:t>
      </w:r>
      <w:r>
        <w:rPr>
          <w:rFonts w:eastAsia="Arial"/>
        </w:rPr>
        <w:t xml:space="preserve"> </w:t>
      </w:r>
      <w:r>
        <w:t>with</w:t>
      </w:r>
      <w:r>
        <w:rPr>
          <w:rFonts w:eastAsia="Arial"/>
        </w:rPr>
        <w:t xml:space="preserve"> </w:t>
      </w:r>
      <w:r>
        <w:t>this</w:t>
      </w:r>
      <w:r>
        <w:rPr>
          <w:rFonts w:eastAsia="Arial"/>
        </w:rPr>
        <w:t xml:space="preserve"> </w:t>
      </w:r>
      <w:r>
        <w:t>power.</w:t>
      </w:r>
      <w:r>
        <w:rPr>
          <w:rFonts w:eastAsia="Arial"/>
        </w:rPr>
        <w:t xml:space="preserve"> </w:t>
      </w:r>
      <w:r>
        <w:t>If</w:t>
      </w:r>
      <w:r>
        <w:rPr>
          <w:rFonts w:eastAsia="Arial"/>
        </w:rPr>
        <w:t xml:space="preserve"> </w:t>
      </w:r>
      <w:r>
        <w:t>there</w:t>
      </w:r>
      <w:r>
        <w:rPr>
          <w:rFonts w:eastAsia="Arial"/>
        </w:rPr>
        <w:t xml:space="preserve"> </w:t>
      </w:r>
      <w:r>
        <w:t>is</w:t>
      </w:r>
      <w:r>
        <w:rPr>
          <w:rFonts w:eastAsia="Arial"/>
        </w:rPr>
        <w:t xml:space="preserve"> </w:t>
      </w:r>
      <w:r>
        <w:t>an</w:t>
      </w:r>
      <w:r>
        <w:rPr>
          <w:rFonts w:eastAsia="Arial"/>
        </w:rPr>
        <w:t xml:space="preserve"> </w:t>
      </w:r>
      <w:r>
        <w:t>ACK</w:t>
      </w:r>
      <w:r>
        <w:rPr>
          <w:rFonts w:eastAsia="Arial"/>
        </w:rPr>
        <w:t xml:space="preserve"> </w:t>
      </w:r>
      <w:r>
        <w:t>on</w:t>
      </w:r>
      <w:r>
        <w:rPr>
          <w:rFonts w:eastAsia="Arial"/>
        </w:rPr>
        <w:t xml:space="preserve"> </w:t>
      </w:r>
      <w:r>
        <w:t>the</w:t>
      </w:r>
      <w:r>
        <w:rPr>
          <w:rFonts w:eastAsia="Arial"/>
        </w:rPr>
        <w:t xml:space="preserve"> </w:t>
      </w:r>
      <w:r>
        <w:t>AICH</w:t>
      </w:r>
      <w:r>
        <w:rPr>
          <w:rFonts w:eastAsia="Arial"/>
        </w:rPr>
        <w:t xml:space="preserve"> </w:t>
      </w:r>
      <w:r>
        <w:t>it</w:t>
      </w:r>
      <w:r>
        <w:rPr>
          <w:rFonts w:eastAsia="Arial"/>
        </w:rPr>
        <w:t xml:space="preserve"> </w:t>
      </w:r>
      <w:r>
        <w:t>would</w:t>
      </w:r>
      <w:r>
        <w:rPr>
          <w:rFonts w:eastAsia="Arial"/>
        </w:rPr>
        <w:t xml:space="preserve"> </w:t>
      </w:r>
      <w:r>
        <w:t>continue</w:t>
      </w:r>
      <w:r>
        <w:rPr>
          <w:rFonts w:eastAsia="Arial"/>
        </w:rPr>
        <w:t xml:space="preserve"> </w:t>
      </w:r>
      <w:r>
        <w:t>transmitting</w:t>
      </w:r>
      <w:r>
        <w:rPr>
          <w:rFonts w:eastAsia="Arial"/>
        </w:rPr>
        <w:t xml:space="preserve"> </w:t>
      </w:r>
      <w:r>
        <w:t>the</w:t>
      </w:r>
      <w:r>
        <w:rPr>
          <w:rFonts w:eastAsia="Arial"/>
        </w:rPr>
        <w:t xml:space="preserve"> </w:t>
      </w:r>
      <w:r>
        <w:t>PRACH</w:t>
      </w:r>
      <w:r>
        <w:rPr>
          <w:rFonts w:eastAsia="Arial"/>
        </w:rPr>
        <w:t xml:space="preserve"> </w:t>
      </w:r>
      <w:r>
        <w:t>message</w:t>
      </w:r>
      <w:r>
        <w:rPr>
          <w:rFonts w:eastAsia="Arial"/>
        </w:rPr>
        <w:t xml:space="preserve"> </w:t>
      </w:r>
      <w:r>
        <w:t>part (with an additional offset for the message part)</w:t>
      </w:r>
      <w:r>
        <w:rPr>
          <w:rFonts w:eastAsia="Arial"/>
        </w:rPr>
        <w:t xml:space="preserve"> </w:t>
      </w:r>
      <w:r>
        <w:t>or</w:t>
      </w:r>
      <w:r>
        <w:rPr>
          <w:rFonts w:eastAsia="Arial"/>
        </w:rPr>
        <w:t xml:space="preserve"> </w:t>
      </w:r>
      <w:r>
        <w:t>would</w:t>
      </w:r>
      <w:r>
        <w:rPr>
          <w:rFonts w:eastAsia="Arial"/>
        </w:rPr>
        <w:t xml:space="preserve"> </w:t>
      </w:r>
      <w:r>
        <w:t>start</w:t>
      </w:r>
      <w:r>
        <w:rPr>
          <w:rFonts w:eastAsia="Arial"/>
        </w:rPr>
        <w:t xml:space="preserve"> </w:t>
      </w:r>
      <w:r>
        <w:t>using</w:t>
      </w:r>
      <w:r>
        <w:rPr>
          <w:rFonts w:eastAsia="Arial"/>
        </w:rPr>
        <w:t xml:space="preserve"> </w:t>
      </w:r>
      <w:r>
        <w:t>the</w:t>
      </w:r>
      <w:r>
        <w:rPr>
          <w:rFonts w:eastAsia="Arial"/>
        </w:rPr>
        <w:t xml:space="preserve"> </w:t>
      </w:r>
      <w:r>
        <w:t>common</w:t>
      </w:r>
      <w:r>
        <w:rPr>
          <w:rFonts w:eastAsia="Arial"/>
        </w:rPr>
        <w:t xml:space="preserve"> </w:t>
      </w:r>
      <w:r>
        <w:t>E-DCH</w:t>
      </w:r>
      <w:r>
        <w:rPr>
          <w:rFonts w:eastAsia="Arial"/>
        </w:rPr>
        <w:t xml:space="preserve"> </w:t>
      </w:r>
      <w:r>
        <w:t>resource</w:t>
      </w:r>
      <w:r>
        <w:rPr>
          <w:rFonts w:eastAsia="Arial"/>
        </w:rPr>
        <w:t xml:space="preserve"> </w:t>
      </w:r>
      <w:r>
        <w:t>based</w:t>
      </w:r>
      <w:r>
        <w:rPr>
          <w:rFonts w:eastAsia="Arial"/>
        </w:rPr>
        <w:t xml:space="preserve"> </w:t>
      </w:r>
      <w:r>
        <w:t>on</w:t>
      </w:r>
      <w:r>
        <w:rPr>
          <w:rFonts w:eastAsia="Arial"/>
        </w:rPr>
        <w:t xml:space="preserve"> </w:t>
      </w:r>
      <w:r>
        <w:t>legacy</w:t>
      </w:r>
      <w:r>
        <w:rPr>
          <w:rFonts w:eastAsia="Arial"/>
        </w:rPr>
        <w:t xml:space="preserve"> </w:t>
      </w:r>
      <w:r>
        <w:t>rules.</w:t>
      </w:r>
      <w:r>
        <w:rPr>
          <w:rFonts w:eastAsia="Arial"/>
        </w:rPr>
        <w:t xml:space="preserve"> </w:t>
      </w:r>
      <w:r>
        <w:t>If</w:t>
      </w:r>
      <w:r>
        <w:rPr>
          <w:rFonts w:eastAsia="Arial"/>
        </w:rPr>
        <w:t xml:space="preserve"> </w:t>
      </w:r>
      <w:r>
        <w:t>the</w:t>
      </w:r>
      <w:r>
        <w:rPr>
          <w:rFonts w:eastAsia="Arial"/>
        </w:rPr>
        <w:t xml:space="preserve"> </w:t>
      </w:r>
      <w:r>
        <w:t>UE</w:t>
      </w:r>
      <w:r>
        <w:rPr>
          <w:rFonts w:eastAsia="Arial"/>
        </w:rPr>
        <w:t xml:space="preserve"> </w:t>
      </w:r>
      <w:r>
        <w:t>receives</w:t>
      </w:r>
      <w:r>
        <w:rPr>
          <w:rFonts w:eastAsia="Arial"/>
        </w:rPr>
        <w:t xml:space="preserve"> </w:t>
      </w:r>
      <w:r>
        <w:t>no</w:t>
      </w:r>
      <w:r>
        <w:rPr>
          <w:rFonts w:eastAsia="Arial"/>
        </w:rPr>
        <w:t xml:space="preserve"> </w:t>
      </w:r>
      <w:r>
        <w:t>response</w:t>
      </w:r>
      <w:r>
        <w:rPr>
          <w:rFonts w:eastAsia="Arial"/>
        </w:rPr>
        <w:t xml:space="preserve"> </w:t>
      </w:r>
      <w:r>
        <w:t>on</w:t>
      </w:r>
      <w:r>
        <w:rPr>
          <w:rFonts w:eastAsia="Arial"/>
        </w:rPr>
        <w:t xml:space="preserve"> </w:t>
      </w:r>
      <w:r>
        <w:t>the</w:t>
      </w:r>
      <w:r>
        <w:rPr>
          <w:rFonts w:eastAsia="Arial"/>
        </w:rPr>
        <w:t xml:space="preserve"> </w:t>
      </w:r>
      <w:r>
        <w:t>AICH</w:t>
      </w:r>
      <w:r>
        <w:rPr>
          <w:rFonts w:eastAsia="Arial"/>
        </w:rPr>
        <w:t xml:space="preserve"> </w:t>
      </w:r>
      <w:r>
        <w:t>(i.e.</w:t>
      </w:r>
      <w:r>
        <w:rPr>
          <w:rFonts w:eastAsia="Arial"/>
        </w:rPr>
        <w:t xml:space="preserve"> </w:t>
      </w:r>
      <w:r>
        <w:t>a</w:t>
      </w:r>
      <w:r>
        <w:rPr>
          <w:rFonts w:eastAsia="Arial"/>
        </w:rPr>
        <w:t xml:space="preserve"> </w:t>
      </w:r>
      <w:r>
        <w:t>DTX),</w:t>
      </w:r>
      <w:r>
        <w:rPr>
          <w:rFonts w:eastAsia="Arial"/>
        </w:rPr>
        <w:t xml:space="preserve"> </w:t>
      </w:r>
      <w:r>
        <w:t>the</w:t>
      </w:r>
      <w:r>
        <w:rPr>
          <w:rFonts w:eastAsia="Arial"/>
        </w:rPr>
        <w:t xml:space="preserve"> </w:t>
      </w:r>
      <w:r>
        <w:t>UE</w:t>
      </w:r>
      <w:r>
        <w:rPr>
          <w:rFonts w:eastAsia="Arial"/>
        </w:rPr>
        <w:t xml:space="preserve"> </w:t>
      </w:r>
      <w:r>
        <w:t>would</w:t>
      </w:r>
      <w:r>
        <w:rPr>
          <w:rFonts w:eastAsia="Arial"/>
        </w:rPr>
        <w:t xml:space="preserve"> </w:t>
      </w:r>
      <w:r>
        <w:t>ramp</w:t>
      </w:r>
      <w:r>
        <w:rPr>
          <w:rFonts w:eastAsia="Arial"/>
        </w:rPr>
        <w:t xml:space="preserve"> </w:t>
      </w:r>
      <w:r>
        <w:t>up</w:t>
      </w:r>
      <w:r>
        <w:rPr>
          <w:rFonts w:eastAsia="Arial"/>
        </w:rPr>
        <w:t xml:space="preserve"> </w:t>
      </w:r>
      <w:r>
        <w:t>the</w:t>
      </w:r>
      <w:r>
        <w:rPr>
          <w:rFonts w:eastAsia="Arial"/>
        </w:rPr>
        <w:t xml:space="preserve"> </w:t>
      </w:r>
      <w:r>
        <w:t>preamble</w:t>
      </w:r>
      <w:r>
        <w:rPr>
          <w:rFonts w:eastAsia="Arial"/>
        </w:rPr>
        <w:t xml:space="preserve"> </w:t>
      </w:r>
      <w:r>
        <w:t>transmit</w:t>
      </w:r>
      <w:r>
        <w:rPr>
          <w:rFonts w:eastAsia="Arial"/>
        </w:rPr>
        <w:t xml:space="preserve"> </w:t>
      </w:r>
      <w:r>
        <w:t>power</w:t>
      </w:r>
      <w:r>
        <w:rPr>
          <w:rFonts w:eastAsia="Arial"/>
        </w:rPr>
        <w:t xml:space="preserve"> </w:t>
      </w:r>
      <w:r>
        <w:t>with</w:t>
      </w:r>
      <w:r>
        <w:rPr>
          <w:rFonts w:eastAsia="Arial"/>
        </w:rPr>
        <w:t xml:space="preserve"> </w:t>
      </w:r>
      <w:r>
        <w:t>a</w:t>
      </w:r>
      <w:r>
        <w:rPr>
          <w:rFonts w:eastAsia="Arial"/>
        </w:rPr>
        <w:t xml:space="preserve"> </w:t>
      </w:r>
      <w:r>
        <w:t>ramp</w:t>
      </w:r>
      <w:r>
        <w:rPr>
          <w:rFonts w:eastAsia="Arial"/>
        </w:rPr>
        <w:t xml:space="preserve"> </w:t>
      </w:r>
      <w:r>
        <w:t>step</w:t>
      </w:r>
      <w:r>
        <w:rPr>
          <w:rFonts w:eastAsia="Arial"/>
        </w:rPr>
        <w:t xml:space="preserve"> </w:t>
      </w:r>
      <w:r>
        <w:t>based</w:t>
      </w:r>
      <w:r>
        <w:rPr>
          <w:rFonts w:eastAsia="Arial"/>
        </w:rPr>
        <w:t xml:space="preserve"> </w:t>
      </w:r>
      <w:r>
        <w:t>on</w:t>
      </w:r>
      <w:r>
        <w:rPr>
          <w:rFonts w:eastAsia="Arial"/>
        </w:rPr>
        <w:t xml:space="preserve"> </w:t>
      </w:r>
      <w:r>
        <w:t>the</w:t>
      </w:r>
      <w:r>
        <w:rPr>
          <w:rFonts w:eastAsia="Arial"/>
        </w:rPr>
        <w:t xml:space="preserve"> </w:t>
      </w:r>
      <w:r>
        <w:t>SIB</w:t>
      </w:r>
      <w:r>
        <w:rPr>
          <w:rFonts w:eastAsia="Arial"/>
        </w:rPr>
        <w:t xml:space="preserve"> </w:t>
      </w:r>
      <w:r>
        <w:t>transmission. This would continue doing it based on the maximum number of attempts configured in the SIB.</w:t>
      </w:r>
    </w:p>
    <w:p w:rsidR="0005027C" w:rsidRDefault="0005027C" w:rsidP="0005027C">
      <w:pPr>
        <w:rPr>
          <w:rFonts w:eastAsia="Arial"/>
        </w:rPr>
      </w:pPr>
      <w:r>
        <w:t>In general, the</w:t>
      </w:r>
      <w:r>
        <w:rPr>
          <w:rFonts w:eastAsia="Arial"/>
        </w:rPr>
        <w:t xml:space="preserve"> </w:t>
      </w:r>
      <w:r>
        <w:t>constant</w:t>
      </w:r>
      <w:r>
        <w:rPr>
          <w:rFonts w:eastAsia="Arial"/>
        </w:rPr>
        <w:t xml:space="preserve"> </w:t>
      </w:r>
      <w:r>
        <w:t>value</w:t>
      </w:r>
      <w:r>
        <w:rPr>
          <w:rFonts w:eastAsia="Arial"/>
        </w:rPr>
        <w:t xml:space="preserve"> </w:t>
      </w:r>
      <w:r>
        <w:t>is</w:t>
      </w:r>
      <w:r>
        <w:rPr>
          <w:rFonts w:eastAsia="Arial"/>
        </w:rPr>
        <w:t xml:space="preserve"> </w:t>
      </w:r>
      <w:r>
        <w:t>selected</w:t>
      </w:r>
      <w:r>
        <w:rPr>
          <w:rFonts w:eastAsia="Arial"/>
        </w:rPr>
        <w:t xml:space="preserve"> </w:t>
      </w:r>
      <w:r>
        <w:t>to</w:t>
      </w:r>
      <w:r>
        <w:rPr>
          <w:rFonts w:eastAsia="Arial"/>
        </w:rPr>
        <w:t xml:space="preserve"> </w:t>
      </w:r>
      <w:r>
        <w:t>a</w:t>
      </w:r>
      <w:r>
        <w:rPr>
          <w:rFonts w:eastAsia="Arial"/>
        </w:rPr>
        <w:t xml:space="preserve"> </w:t>
      </w:r>
      <w:r>
        <w:t>lower</w:t>
      </w:r>
      <w:r>
        <w:rPr>
          <w:rFonts w:eastAsia="Arial"/>
        </w:rPr>
        <w:t xml:space="preserve"> </w:t>
      </w:r>
      <w:r>
        <w:t>value</w:t>
      </w:r>
      <w:r>
        <w:rPr>
          <w:rFonts w:eastAsia="Arial"/>
        </w:rPr>
        <w:t xml:space="preserve"> </w:t>
      </w:r>
      <w:r>
        <w:t>to ensure that</w:t>
      </w:r>
      <w:r>
        <w:rPr>
          <w:rFonts w:eastAsia="Arial"/>
        </w:rPr>
        <w:t xml:space="preserve"> </w:t>
      </w:r>
      <w:r>
        <w:t>the</w:t>
      </w:r>
      <w:r>
        <w:rPr>
          <w:rFonts w:eastAsia="Arial"/>
        </w:rPr>
        <w:t xml:space="preserve"> </w:t>
      </w:r>
      <w:r>
        <w:t>devices</w:t>
      </w:r>
      <w:r>
        <w:rPr>
          <w:rFonts w:eastAsia="Arial"/>
        </w:rPr>
        <w:t xml:space="preserve"> </w:t>
      </w:r>
      <w:r>
        <w:t>do</w:t>
      </w:r>
      <w:r>
        <w:rPr>
          <w:rFonts w:eastAsia="Arial"/>
        </w:rPr>
        <w:t xml:space="preserve"> </w:t>
      </w:r>
      <w:r>
        <w:t>n</w:t>
      </w:r>
      <w:r>
        <w:rPr>
          <w:rFonts w:eastAsia="Arial"/>
        </w:rPr>
        <w:t>o</w:t>
      </w:r>
      <w:r>
        <w:t>t</w:t>
      </w:r>
      <w:r>
        <w:rPr>
          <w:rFonts w:eastAsia="Arial"/>
        </w:rPr>
        <w:t xml:space="preserve"> </w:t>
      </w:r>
      <w:r>
        <w:t>choose</w:t>
      </w:r>
      <w:r>
        <w:rPr>
          <w:rFonts w:eastAsia="Arial"/>
        </w:rPr>
        <w:t xml:space="preserve"> </w:t>
      </w:r>
      <w:r>
        <w:t>an</w:t>
      </w:r>
      <w:r>
        <w:rPr>
          <w:rFonts w:eastAsia="Arial"/>
        </w:rPr>
        <w:t xml:space="preserve"> unnecessarily </w:t>
      </w:r>
      <w:r>
        <w:t>high</w:t>
      </w:r>
      <w:r>
        <w:rPr>
          <w:rFonts w:eastAsia="Arial"/>
        </w:rPr>
        <w:t xml:space="preserve"> </w:t>
      </w:r>
      <w:r>
        <w:t>initial</w:t>
      </w:r>
      <w:r>
        <w:rPr>
          <w:rFonts w:eastAsia="Arial"/>
        </w:rPr>
        <w:t xml:space="preserve"> </w:t>
      </w:r>
      <w:r>
        <w:t>power</w:t>
      </w:r>
      <w:r>
        <w:rPr>
          <w:rFonts w:eastAsia="Arial"/>
        </w:rPr>
        <w:t xml:space="preserve"> </w:t>
      </w:r>
      <w:r>
        <w:t>to</w:t>
      </w:r>
      <w:r>
        <w:rPr>
          <w:rFonts w:eastAsia="Arial"/>
        </w:rPr>
        <w:t xml:space="preserve"> </w:t>
      </w:r>
      <w:r>
        <w:t>start</w:t>
      </w:r>
      <w:r>
        <w:rPr>
          <w:rFonts w:eastAsia="Arial"/>
        </w:rPr>
        <w:t xml:space="preserve"> </w:t>
      </w:r>
      <w:r>
        <w:t>with,</w:t>
      </w:r>
      <w:r>
        <w:rPr>
          <w:rFonts w:eastAsia="Arial"/>
        </w:rPr>
        <w:t xml:space="preserve"> </w:t>
      </w:r>
      <w:r>
        <w:t>which</w:t>
      </w:r>
      <w:r>
        <w:rPr>
          <w:rFonts w:eastAsia="Arial"/>
        </w:rPr>
        <w:t xml:space="preserve"> </w:t>
      </w:r>
      <w:r>
        <w:t>may</w:t>
      </w:r>
      <w:r>
        <w:rPr>
          <w:rFonts w:eastAsia="Arial"/>
        </w:rPr>
        <w:t xml:space="preserve"> </w:t>
      </w:r>
      <w:r>
        <w:t>impact</w:t>
      </w:r>
      <w:r>
        <w:rPr>
          <w:rFonts w:eastAsia="Arial"/>
        </w:rPr>
        <w:t xml:space="preserve"> </w:t>
      </w:r>
      <w:r>
        <w:t>the</w:t>
      </w:r>
      <w:r>
        <w:rPr>
          <w:rFonts w:eastAsia="Arial"/>
        </w:rPr>
        <w:t xml:space="preserve"> </w:t>
      </w:r>
      <w:r>
        <w:t>other</w:t>
      </w:r>
      <w:r>
        <w:rPr>
          <w:rFonts w:eastAsia="Arial"/>
        </w:rPr>
        <w:t xml:space="preserve"> </w:t>
      </w:r>
      <w:r>
        <w:t>real</w:t>
      </w:r>
      <w:r>
        <w:rPr>
          <w:rFonts w:eastAsia="Arial"/>
        </w:rPr>
        <w:t xml:space="preserve"> </w:t>
      </w:r>
      <w:r>
        <w:t>time</w:t>
      </w:r>
      <w:r>
        <w:rPr>
          <w:rFonts w:eastAsia="Arial"/>
        </w:rPr>
        <w:t xml:space="preserve"> </w:t>
      </w:r>
      <w:r>
        <w:t>traffic</w:t>
      </w:r>
      <w:r>
        <w:rPr>
          <w:rFonts w:eastAsia="Arial"/>
        </w:rPr>
        <w:t xml:space="preserve"> </w:t>
      </w:r>
      <w:r>
        <w:t>in</w:t>
      </w:r>
      <w:r>
        <w:rPr>
          <w:rFonts w:eastAsia="Arial"/>
        </w:rPr>
        <w:t xml:space="preserve"> </w:t>
      </w:r>
      <w:r>
        <w:t>the</w:t>
      </w:r>
      <w:r>
        <w:rPr>
          <w:rFonts w:eastAsia="Arial"/>
        </w:rPr>
        <w:t xml:space="preserve"> </w:t>
      </w:r>
      <w:r>
        <w:t>uplink.</w:t>
      </w:r>
      <w:r>
        <w:rPr>
          <w:rFonts w:eastAsia="Arial"/>
        </w:rPr>
        <w:t xml:space="preserve"> In case of small data volumes and/or when a UE moves from IDLE to CONNECTED (whereupon each RRC level SRB message would trigger a request for a new E-DCH resource), 2-3 PRACH attempts start to create a noticeable overhead and cause unnecessary delays.</w:t>
      </w:r>
    </w:p>
    <w:p w:rsidR="0005027C" w:rsidRDefault="0005027C" w:rsidP="0005027C">
      <w:pPr>
        <w:jc w:val="both"/>
        <w:rPr>
          <w:rFonts w:eastAsia="Arial"/>
        </w:rPr>
      </w:pPr>
      <w:r>
        <w:rPr>
          <w:b/>
          <w:szCs w:val="22"/>
          <w:lang w:eastAsia="zh-CN"/>
        </w:rPr>
        <w:t>Proposed solution: Broadcasting an additional “Constant Value”</w:t>
      </w:r>
      <w:r>
        <w:rPr>
          <w:rFonts w:eastAsia="Arial"/>
        </w:rPr>
        <w:t xml:space="preserve"> </w:t>
      </w:r>
    </w:p>
    <w:p w:rsidR="0005027C" w:rsidRDefault="0005027C" w:rsidP="0005027C">
      <w:pPr>
        <w:rPr>
          <w:rFonts w:eastAsia="宋体"/>
        </w:rPr>
      </w:pPr>
      <w:r>
        <w:t xml:space="preserve">Allowing the UE to use a second “Constant Value”, which could be additionally broadcast by the network and/or provided by the network in the dedicated signalling might bring benefits. Rules to select a particular “Constant Value” could be based on either device type or traffic class (CCCH, DCCH, and DTCH), or amount of the UL buffer size, or even use a combination of the aforementioned approaches.  </w:t>
      </w:r>
    </w:p>
    <w:p w:rsidR="0005027C" w:rsidRDefault="0005027C" w:rsidP="001B49C9">
      <w:r>
        <w:t>It must also be noted that the “Constant Value” may itself not be constant and may change with varying conditions as experienced by typical small data devices. Hence the network could update this value by updating the system information or by assigning a different value through the dedicated signalling.</w:t>
      </w:r>
    </w:p>
    <w:p w:rsidR="0005027C" w:rsidRPr="0005027C" w:rsidRDefault="0005027C" w:rsidP="0005027C">
      <w:r w:rsidRPr="0005027C">
        <w:t>Additionally, the solution was captured with 2 potential implementation choices in the TR25.705</w:t>
      </w:r>
      <w:r w:rsidR="00472F4C">
        <w:t xml:space="preserve"> ([2]) </w:t>
      </w:r>
      <w:r w:rsidRPr="0005027C">
        <w:t>which is also attached for your reference. Sections 6.1.3.5.3.1 and the further section mentioning this for the list of solutions:</w:t>
      </w:r>
    </w:p>
    <w:p w:rsidR="0005027C" w:rsidRPr="0005027C" w:rsidRDefault="0005027C" w:rsidP="0005027C">
      <w:pPr>
        <w:rPr>
          <w:i/>
        </w:rPr>
      </w:pPr>
      <w:r w:rsidRPr="0005027C">
        <w:rPr>
          <w:i/>
        </w:rPr>
        <w:t>“So, the TSG RAN WG1 has considered the following candidates for enhancing the coverage of the bottleneck channels.”</w:t>
      </w:r>
    </w:p>
    <w:p w:rsidR="0005027C" w:rsidRPr="0005027C" w:rsidRDefault="0005027C" w:rsidP="0005027C">
      <w:pPr>
        <w:rPr>
          <w:i/>
        </w:rPr>
      </w:pPr>
      <w:r w:rsidRPr="0005027C">
        <w:rPr>
          <w:i/>
        </w:rPr>
        <w:t xml:space="preserve">-     </w:t>
      </w:r>
      <w:r w:rsidRPr="00C13600">
        <w:rPr>
          <w:b/>
          <w:i/>
          <w:u w:val="single"/>
        </w:rPr>
        <w:t>PRACH Optimization</w:t>
      </w:r>
      <w:r w:rsidRPr="0005027C">
        <w:rPr>
          <w:i/>
        </w:rPr>
        <w:t xml:space="preserve">: In the 3GPP TS 25.331 [X], there is an equation that is used to set the initial power of the PRACH preamble. During this study, two potential variants to that equation have been proposed: </w:t>
      </w:r>
    </w:p>
    <w:p w:rsidR="0005027C" w:rsidRPr="0005027C" w:rsidRDefault="0005027C" w:rsidP="0005027C">
      <w:pPr>
        <w:rPr>
          <w:i/>
        </w:rPr>
      </w:pPr>
      <w:r w:rsidRPr="0005027C">
        <w:rPr>
          <w:i/>
        </w:rPr>
        <w:t xml:space="preserve">-     </w:t>
      </w:r>
      <w:r w:rsidRPr="00C13600">
        <w:rPr>
          <w:b/>
          <w:i/>
          <w:u w:val="single"/>
        </w:rPr>
        <w:t>Second Constant value:</w:t>
      </w:r>
      <w:r w:rsidRPr="0005027C">
        <w:rPr>
          <w:i/>
        </w:rPr>
        <w:t xml:space="preserve"> According to this proposal, allowing the UE to use a second “Constant Value” might bring benefits. Rules to select a particular “Constant Value” could be based on either device type or traffic class, or amount of the UL buffer size, or even use a combination of the aforementioned approaches. See section 6.1.3.5.3.1 in the Technical Report for further details.</w:t>
      </w:r>
    </w:p>
    <w:p w:rsidR="0005027C" w:rsidRPr="0005027C" w:rsidRDefault="0005027C" w:rsidP="0005027C">
      <w:pPr>
        <w:rPr>
          <w:i/>
        </w:rPr>
      </w:pPr>
      <w:r w:rsidRPr="0005027C">
        <w:rPr>
          <w:i/>
        </w:rPr>
        <w:lastRenderedPageBreak/>
        <w:t xml:space="preserve">-     </w:t>
      </w:r>
      <w:r w:rsidRPr="00C13600">
        <w:rPr>
          <w:b/>
          <w:i/>
          <w:u w:val="single"/>
        </w:rPr>
        <w:t>New Delta value:</w:t>
      </w:r>
      <w:r w:rsidRPr="0005027C">
        <w:rPr>
          <w:i/>
        </w:rPr>
        <w:t xml:space="preserve"> A new “Delta Value” is proposed to be added to the PRACH preamble initial power formula in order to distribute the total required power among the number of repetitions intended to be used. See the second half of section 6.1.4 in the Technical Report for further details.</w:t>
      </w:r>
    </w:p>
    <w:p w:rsidR="0005027C" w:rsidRPr="006E13D1" w:rsidRDefault="00C13600" w:rsidP="001B49C9">
      <w:r>
        <w:t>In [4] in addition to presenting the base concept lab results are also provided wherein the gains of the proposal have been found and documented.</w:t>
      </w:r>
    </w:p>
    <w:p w:rsidR="00CD4C7B" w:rsidRDefault="0005027C" w:rsidP="00CD4C7B">
      <w:pPr>
        <w:pStyle w:val="Heading1"/>
      </w:pPr>
      <w:r>
        <w:t>3</w:t>
      </w:r>
      <w:r w:rsidR="00CD4C7B" w:rsidRPr="006E13D1">
        <w:tab/>
      </w:r>
      <w:r>
        <w:t>Conclusion</w:t>
      </w:r>
    </w:p>
    <w:p w:rsidR="0005027C" w:rsidRDefault="00ED25B8" w:rsidP="0005027C">
      <w:r>
        <w:t>Based on the above provided details, we would like to propose the following:</w:t>
      </w:r>
    </w:p>
    <w:p w:rsidR="00ED25B8" w:rsidRPr="00ED25B8" w:rsidRDefault="00ED25B8" w:rsidP="00ED25B8">
      <w:pPr>
        <w:rPr>
          <w:b/>
          <w:lang w:val="en-IN"/>
        </w:rPr>
      </w:pPr>
      <w:r w:rsidRPr="00ED25B8">
        <w:rPr>
          <w:b/>
          <w:lang w:val="en-IN"/>
        </w:rPr>
        <w:t>Proposal 1: RAN1 sends a LS to RAN2 on this same topic, confirming that the proposal is beneficial based on the meeting notes from RAN1#80</w:t>
      </w:r>
      <w:r>
        <w:rPr>
          <w:b/>
          <w:lang w:val="en-IN"/>
        </w:rPr>
        <w:t>.</w:t>
      </w:r>
    </w:p>
    <w:p w:rsidR="00ED25B8" w:rsidRPr="00ED25B8" w:rsidRDefault="00ED25B8" w:rsidP="00ED25B8">
      <w:pPr>
        <w:rPr>
          <w:b/>
          <w:lang w:val="en-IN"/>
        </w:rPr>
      </w:pPr>
      <w:r w:rsidRPr="00ED25B8">
        <w:rPr>
          <w:b/>
          <w:lang w:val="en-IN"/>
        </w:rPr>
        <w:t xml:space="preserve">Proposal 2: RAN1 mentions to RAN2 in the same LS the potential solutions </w:t>
      </w:r>
      <w:r>
        <w:rPr>
          <w:b/>
          <w:lang w:val="en-IN"/>
        </w:rPr>
        <w:t>documented in</w:t>
      </w:r>
      <w:r w:rsidRPr="00ED25B8">
        <w:rPr>
          <w:b/>
          <w:lang w:val="en-IN"/>
        </w:rPr>
        <w:t xml:space="preserve"> the TR 25.705 </w:t>
      </w:r>
      <w:r>
        <w:rPr>
          <w:b/>
          <w:lang w:val="en-IN"/>
        </w:rPr>
        <w:t>in the summary section.</w:t>
      </w:r>
    </w:p>
    <w:p w:rsidR="00CD4C7B" w:rsidRPr="006E13D1" w:rsidRDefault="00CD4C7B" w:rsidP="00CD4C7B">
      <w:pPr>
        <w:pStyle w:val="Heading1"/>
      </w:pPr>
      <w:r w:rsidRPr="006E13D1">
        <w:t>References</w:t>
      </w:r>
    </w:p>
    <w:p w:rsidR="00CD4C7B" w:rsidRPr="006E13D1" w:rsidRDefault="0005027C" w:rsidP="0005027C">
      <w:pPr>
        <w:numPr>
          <w:ilvl w:val="0"/>
          <w:numId w:val="4"/>
        </w:numPr>
        <w:overflowPunct w:val="0"/>
        <w:autoSpaceDE w:val="0"/>
        <w:autoSpaceDN w:val="0"/>
        <w:adjustRightInd w:val="0"/>
        <w:textAlignment w:val="baseline"/>
      </w:pPr>
      <w:bookmarkStart w:id="2" w:name="_Ref75086397"/>
      <w:r w:rsidRPr="0005027C">
        <w:t>Final Report of 3GPP TSG RAN WG1 #80 v1.0.0</w:t>
      </w:r>
      <w:r w:rsidR="00CD4C7B" w:rsidRPr="006E13D1">
        <w:t xml:space="preserve">, </w:t>
      </w:r>
      <w:r>
        <w:t xml:space="preserve">3GPP </w:t>
      </w:r>
      <w:r w:rsidRPr="0005027C">
        <w:rPr>
          <w:iCs/>
        </w:rPr>
        <w:t>MCC</w:t>
      </w:r>
    </w:p>
    <w:bookmarkEnd w:id="2"/>
    <w:p w:rsidR="00CD4C7B" w:rsidRDefault="0005027C" w:rsidP="0005027C">
      <w:pPr>
        <w:numPr>
          <w:ilvl w:val="0"/>
          <w:numId w:val="4"/>
        </w:numPr>
        <w:overflowPunct w:val="0"/>
        <w:autoSpaceDE w:val="0"/>
        <w:autoSpaceDN w:val="0"/>
        <w:adjustRightInd w:val="0"/>
        <w:textAlignment w:val="baseline"/>
      </w:pPr>
      <w:r>
        <w:t xml:space="preserve">3GPP TR 25.705 (Rel-13): </w:t>
      </w:r>
      <w:r w:rsidRPr="0005027C">
        <w:rPr>
          <w:i/>
        </w:rPr>
        <w:t>Study on small data transmission enhancements for UMTS</w:t>
      </w:r>
      <w:r>
        <w:t>, 3GPP</w:t>
      </w:r>
    </w:p>
    <w:p w:rsidR="0005027C" w:rsidRDefault="0005027C" w:rsidP="0005027C">
      <w:pPr>
        <w:numPr>
          <w:ilvl w:val="0"/>
          <w:numId w:val="4"/>
        </w:numPr>
        <w:overflowPunct w:val="0"/>
        <w:autoSpaceDE w:val="0"/>
        <w:autoSpaceDN w:val="0"/>
        <w:adjustRightInd w:val="0"/>
        <w:textAlignment w:val="baseline"/>
      </w:pPr>
      <w:r w:rsidRPr="0005027C">
        <w:t>R1-150632</w:t>
      </w:r>
      <w:r>
        <w:t xml:space="preserve"> </w:t>
      </w:r>
      <w:r w:rsidRPr="0005027C">
        <w:rPr>
          <w:i/>
        </w:rPr>
        <w:t>Uplink optimization for Small Data Transmission</w:t>
      </w:r>
      <w:r>
        <w:t xml:space="preserve">, </w:t>
      </w:r>
      <w:r w:rsidRPr="0005027C">
        <w:t>Nokia Networks</w:t>
      </w:r>
    </w:p>
    <w:p w:rsidR="00C13600" w:rsidRPr="006E13D1" w:rsidRDefault="00C13600" w:rsidP="00C13600">
      <w:pPr>
        <w:numPr>
          <w:ilvl w:val="0"/>
          <w:numId w:val="4"/>
        </w:numPr>
        <w:overflowPunct w:val="0"/>
        <w:autoSpaceDE w:val="0"/>
        <w:autoSpaceDN w:val="0"/>
        <w:adjustRightInd w:val="0"/>
        <w:textAlignment w:val="baseline"/>
      </w:pPr>
      <w:r w:rsidRPr="00C13600">
        <w:t>R2-163349</w:t>
      </w:r>
      <w:r>
        <w:rPr>
          <w:bCs/>
          <w:sz w:val="24"/>
          <w:szCs w:val="24"/>
          <w:lang w:eastAsia="ja-JP"/>
        </w:rPr>
        <w:t xml:space="preserve">: </w:t>
      </w:r>
      <w:r w:rsidRPr="00C13600">
        <w:rPr>
          <w:i/>
        </w:rPr>
        <w:t xml:space="preserve">Latency reduction for uplink signalling </w:t>
      </w:r>
      <w:r>
        <w:rPr>
          <w:i/>
        </w:rPr>
        <w:t>traffic,</w:t>
      </w:r>
      <w:r w:rsidRPr="00C13600">
        <w:t xml:space="preserve"> Nokia, Alcatel-Lucent Shanghai Bell</w:t>
      </w:r>
    </w:p>
    <w:p w:rsidR="00CD4C7B" w:rsidRPr="006E13D1" w:rsidRDefault="00CD4C7B" w:rsidP="00CD4C7B"/>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38CF" w:rsidRDefault="00E538CF">
      <w:r>
        <w:separator/>
      </w:r>
    </w:p>
  </w:endnote>
  <w:endnote w:type="continuationSeparator" w:id="0">
    <w:p w:rsidR="00E538CF" w:rsidRDefault="00E53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38CF" w:rsidRDefault="00E538CF">
      <w:r>
        <w:separator/>
      </w:r>
    </w:p>
  </w:footnote>
  <w:footnote w:type="continuationSeparator" w:id="0">
    <w:p w:rsidR="00E538CF" w:rsidRDefault="00E538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5027C"/>
    <w:rsid w:val="00080512"/>
    <w:rsid w:val="00090468"/>
    <w:rsid w:val="000B7BCF"/>
    <w:rsid w:val="000C522B"/>
    <w:rsid w:val="000D58AB"/>
    <w:rsid w:val="001741A0"/>
    <w:rsid w:val="00194CD0"/>
    <w:rsid w:val="001B49C9"/>
    <w:rsid w:val="001F168B"/>
    <w:rsid w:val="001F7831"/>
    <w:rsid w:val="00204045"/>
    <w:rsid w:val="0022606D"/>
    <w:rsid w:val="0023234A"/>
    <w:rsid w:val="002747EC"/>
    <w:rsid w:val="002855BF"/>
    <w:rsid w:val="002F0D22"/>
    <w:rsid w:val="003172DC"/>
    <w:rsid w:val="00326069"/>
    <w:rsid w:val="0035462D"/>
    <w:rsid w:val="003B40AD"/>
    <w:rsid w:val="003C4E37"/>
    <w:rsid w:val="003E16BE"/>
    <w:rsid w:val="00401855"/>
    <w:rsid w:val="00472F4C"/>
    <w:rsid w:val="00477455"/>
    <w:rsid w:val="004973FD"/>
    <w:rsid w:val="004D3578"/>
    <w:rsid w:val="004D380D"/>
    <w:rsid w:val="004E213A"/>
    <w:rsid w:val="00503171"/>
    <w:rsid w:val="00534DA0"/>
    <w:rsid w:val="00543E6C"/>
    <w:rsid w:val="00565087"/>
    <w:rsid w:val="0056573F"/>
    <w:rsid w:val="00611566"/>
    <w:rsid w:val="00646D99"/>
    <w:rsid w:val="00656910"/>
    <w:rsid w:val="006C66D8"/>
    <w:rsid w:val="006D1E24"/>
    <w:rsid w:val="006F6A2C"/>
    <w:rsid w:val="00734A5B"/>
    <w:rsid w:val="00744E76"/>
    <w:rsid w:val="00757D40"/>
    <w:rsid w:val="00781F0F"/>
    <w:rsid w:val="0078727C"/>
    <w:rsid w:val="0079049D"/>
    <w:rsid w:val="007946D6"/>
    <w:rsid w:val="007B18D8"/>
    <w:rsid w:val="007C095F"/>
    <w:rsid w:val="008028A4"/>
    <w:rsid w:val="008768CA"/>
    <w:rsid w:val="00880559"/>
    <w:rsid w:val="0090271F"/>
    <w:rsid w:val="00942EC2"/>
    <w:rsid w:val="00961B32"/>
    <w:rsid w:val="00974BB0"/>
    <w:rsid w:val="009B07CD"/>
    <w:rsid w:val="00A10F02"/>
    <w:rsid w:val="00A53724"/>
    <w:rsid w:val="00A82346"/>
    <w:rsid w:val="00A9671C"/>
    <w:rsid w:val="00B15449"/>
    <w:rsid w:val="00B47FD1"/>
    <w:rsid w:val="00C12B51"/>
    <w:rsid w:val="00C13600"/>
    <w:rsid w:val="00C33079"/>
    <w:rsid w:val="00C83A13"/>
    <w:rsid w:val="00CA3D0C"/>
    <w:rsid w:val="00CD4C7B"/>
    <w:rsid w:val="00D738D6"/>
    <w:rsid w:val="00D80795"/>
    <w:rsid w:val="00D87E00"/>
    <w:rsid w:val="00D9134D"/>
    <w:rsid w:val="00D92CDE"/>
    <w:rsid w:val="00D96D11"/>
    <w:rsid w:val="00DA7A03"/>
    <w:rsid w:val="00DB1818"/>
    <w:rsid w:val="00DC309B"/>
    <w:rsid w:val="00DC4DA2"/>
    <w:rsid w:val="00DD2D26"/>
    <w:rsid w:val="00DE0810"/>
    <w:rsid w:val="00E538CF"/>
    <w:rsid w:val="00E62835"/>
    <w:rsid w:val="00E77645"/>
    <w:rsid w:val="00EC4A25"/>
    <w:rsid w:val="00ED25B8"/>
    <w:rsid w:val="00F025A2"/>
    <w:rsid w:val="00F07388"/>
    <w:rsid w:val="00F2026E"/>
    <w:rsid w:val="00F2210A"/>
    <w:rsid w:val="00F37743"/>
    <w:rsid w:val="00F54A3D"/>
    <w:rsid w:val="00F653B8"/>
    <w:rsid w:val="00F76F8F"/>
    <w:rsid w:val="00F92CB1"/>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63212">
      <w:bodyDiv w:val="1"/>
      <w:marLeft w:val="0"/>
      <w:marRight w:val="0"/>
      <w:marTop w:val="0"/>
      <w:marBottom w:val="0"/>
      <w:divBdr>
        <w:top w:val="none" w:sz="0" w:space="0" w:color="auto"/>
        <w:left w:val="none" w:sz="0" w:space="0" w:color="auto"/>
        <w:bottom w:val="none" w:sz="0" w:space="0" w:color="auto"/>
        <w:right w:val="none" w:sz="0" w:space="0" w:color="auto"/>
      </w:divBdr>
    </w:div>
    <w:div w:id="565797554">
      <w:bodyDiv w:val="1"/>
      <w:marLeft w:val="0"/>
      <w:marRight w:val="0"/>
      <w:marTop w:val="0"/>
      <w:marBottom w:val="0"/>
      <w:divBdr>
        <w:top w:val="none" w:sz="0" w:space="0" w:color="auto"/>
        <w:left w:val="none" w:sz="0" w:space="0" w:color="auto"/>
        <w:bottom w:val="none" w:sz="0" w:space="0" w:color="auto"/>
        <w:right w:val="none" w:sz="0" w:space="0" w:color="auto"/>
      </w:divBdr>
    </w:div>
    <w:div w:id="705911926">
      <w:bodyDiv w:val="1"/>
      <w:marLeft w:val="0"/>
      <w:marRight w:val="0"/>
      <w:marTop w:val="0"/>
      <w:marBottom w:val="0"/>
      <w:divBdr>
        <w:top w:val="none" w:sz="0" w:space="0" w:color="auto"/>
        <w:left w:val="none" w:sz="0" w:space="0" w:color="auto"/>
        <w:bottom w:val="none" w:sz="0" w:space="0" w:color="auto"/>
        <w:right w:val="none" w:sz="0" w:space="0" w:color="auto"/>
      </w:divBdr>
    </w:div>
    <w:div w:id="81271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file:///C:\Users\ali\AppData\Local\Temp\Docs\R1-150632.zip"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267</Value>
      <Value>265</Value>
      <Value>264</Value>
      <Value>263</Value>
      <Value>262</Value>
      <Value>261</Value>
      <Value>260</Value>
      <Value>259</Value>
      <Value>258</Value>
      <Value>257</Value>
      <Value>256</Value>
      <Value>255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Nokia</TermName>
          <TermId xmlns="http://schemas.microsoft.com/office/infopath/2007/PartnerControls">11111111-1111-1111-1111-111111111111</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91082E-4300-4614-9A9A-43DD52D5C026}">
  <ds:schemaRefs>
    <ds:schemaRef ds:uri="http://schemas.microsoft.com/sharepoint/v3/contenttype/forms"/>
  </ds:schemaRefs>
</ds:datastoreItem>
</file>

<file path=customXml/itemProps2.xml><?xml version="1.0" encoding="utf-8"?>
<ds:datastoreItem xmlns:ds="http://schemas.openxmlformats.org/officeDocument/2006/customXml" ds:itemID="{0678B654-0E19-4A65-9953-F05127DF7A69}">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3.xml><?xml version="1.0" encoding="utf-8"?>
<ds:datastoreItem xmlns:ds="http://schemas.openxmlformats.org/officeDocument/2006/customXml" ds:itemID="{1F3A8E08-1734-4E1C-89DC-B56FF51F6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32</TotalTime>
  <Pages>3</Pages>
  <Words>844</Words>
  <Characters>4812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5645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Nokia</cp:lastModifiedBy>
  <cp:revision>11</cp:revision>
  <dcterms:created xsi:type="dcterms:W3CDTF">2016-03-30T01:45:00Z</dcterms:created>
  <dcterms:modified xsi:type="dcterms:W3CDTF">2016-08-12T09:45:00Z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266;#3GPP|11111111-1111-1111-1111-111111111111;#254;#Nokia|11111111-1111-1111-1111-111111111111;#264;#RAN2|980e9916-4a25-480c-aca9-d4509746e608</vt:lpwstr>
  </property>
</Properties>
</file>